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5.1  AI-Ready California Demonstration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666666"/>
          <w:sz w:val="24"/>
          <w:szCs w:val="24"/>
        </w:rPr>
        <w:t xml:space="preserve">○ Not Started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1;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666666"/>
                <w:sz w:val="20"/>
                <w:szCs w:val="20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666666"/>
                <w:sz w:val="20"/>
                <w:szCs w:val="20"/>
              </w:rPr>
              <w:t xml:space="preserve">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$7,000,000 (Proposed: AI-Ready CA ($7M))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 districts onboarded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0/4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$7M two-year project: CPL-embedded AI workforce pathway from HS dual enrollment through AS to BAS-ASIO baccalaureate across 4 districts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Project proposal developed; 4 demo districts identified; BAS-ASIO curriculum in design; contingent on funding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AI-Ready California: Proposed $7M two-year demonstration. 4 demo districts identified (RCCD, SDCCD, LACCD, SBCCD). BAS-ASIO curriculum in design. Contingent on funding approval.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Fall 2025: MOUs and staffing; Spring 2026: AI cert CPL recs drafted; Fall 2026: Dual enrollment launch at 8+ HS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Project proposal developed; 4 demo districts identified; BAS-ASIO curriculum in design; contingent on funding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AI-Ready California: Proposed $7M two-year demonstration. 4 demo districts identified (RCCD, SDCCD, LACCD, SBCCD). BAS-ASIO curriculum in design. Contingent on funding approval.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Project proposal developed; 4 demo districts identified; BAS-ASIO curriculum in design; contingent on funding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AI-Ready California Demonstration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2026-04-14T13:58:26.604Z</dcterms:created>
  <dcterms:modified xsi:type="dcterms:W3CDTF">2026-04-14T13:58:26.604Z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